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Calibri" w:cs="Calibri" w:eastAsia="Calibri" w:hAnsi="Calibri"/>
          <w:b/>
          <w:bCs/>
          <w:color w:val="0A1B3D"/>
          <w:sz w:val="30"/>
          <w:szCs w:val="30"/>
        </w:rPr>
        <w:t xml:space="preserve">Wartungsvertrag für Klima- und Kälteanlagen (Muster)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zwischen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[Name/Firma Auftraggeber, Anschrift]</w:t>
      </w:r>
      <w:r>
        <w:rPr>
          <w:rFonts w:ascii="Calibri" w:cs="Calibri" w:eastAsia="Calibri" w:hAnsi="Calibri"/>
          <w:sz w:val="22"/>
          <w:szCs w:val="22"/>
        </w:rPr>
        <w:t xml:space="preserve"> – nachfolgend „Auftraggeber" –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und</w:t>
      </w:r>
    </w:p>
    <w:p>
      <w:pPr>
        <w:spacing w:after="240"/>
      </w:pP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[Name/Firma Fachbetrieb, Anschrift]</w:t>
      </w:r>
      <w:r>
        <w:rPr>
          <w:rFonts w:ascii="Calibri" w:cs="Calibri" w:eastAsia="Calibri" w:hAnsi="Calibri"/>
          <w:sz w:val="22"/>
          <w:szCs w:val="22"/>
        </w:rPr>
        <w:t xml:space="preserve"> – nachfolgend „Auftragnehmer" –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1B3D"/>
          <w:sz w:val="24"/>
          <w:szCs w:val="24"/>
        </w:rPr>
        <w:t xml:space="preserve">§ 1 Vertragsgegenstand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Der Auftragnehmer übernimmt die regelmäßige Wartung der in § 2 aufgeführten Kälte- und Klimaanlagen. Die Wartung erfolgt in Anlehnung an das Leistungsprogramm der VDMA-Einheitsblattreihe 24186 (insb. Teil 3) sowie nach den Vorgaben der Hersteller und den anerkannten Regeln der Technik.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1B3D"/>
          <w:sz w:val="24"/>
          <w:szCs w:val="24"/>
        </w:rPr>
        <w:t xml:space="preserve">§ 2 Anlagenverzeichnis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400"/>
        <w:gridCol w:w="2200"/>
        <w:gridCol w:w="1500"/>
        <w:gridCol w:w="1300"/>
        <w:gridCol w:w="1600"/>
      </w:tblGrid>
      <w:tr>
        <w:tc>
          <w:tcPr>
            <w:tcW w:type="dxa" w:w="600"/>
            <w:shd w:fill="EAF1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Nr.</w:t>
            </w:r>
          </w:p>
        </w:tc>
        <w:tc>
          <w:tcPr>
            <w:tcW w:type="dxa" w:w="2400"/>
            <w:shd w:fill="EAF1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Anlage / Typ</w:t>
            </w:r>
          </w:p>
        </w:tc>
        <w:tc>
          <w:tcPr>
            <w:tcW w:type="dxa" w:w="2200"/>
            <w:shd w:fill="EAF1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Standort</w:t>
            </w:r>
          </w:p>
        </w:tc>
        <w:tc>
          <w:tcPr>
            <w:tcW w:type="dxa" w:w="1500"/>
            <w:shd w:fill="EAF1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Kältemittel</w:t>
            </w:r>
          </w:p>
        </w:tc>
        <w:tc>
          <w:tcPr>
            <w:tcW w:type="dxa" w:w="1300"/>
            <w:shd w:fill="EAF1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Füllmenge (kg)</w:t>
            </w:r>
          </w:p>
        </w:tc>
        <w:tc>
          <w:tcPr>
            <w:tcW w:type="dxa" w:w="1600"/>
            <w:shd w:fill="EAF1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CO₂-Äquivalent (t)</w:t>
            </w:r>
          </w:p>
        </w:tc>
      </w:tr>
      <w:tr>
        <w:tc>
          <w:tcPr>
            <w:tcW w:type="dxa" w:w="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1</w:t>
            </w:r>
          </w:p>
        </w:tc>
        <w:tc>
          <w:tcPr>
            <w:tcW w:type="dxa" w:w="2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2</w:t>
            </w:r>
          </w:p>
        </w:tc>
        <w:tc>
          <w:tcPr>
            <w:tcW w:type="dxa" w:w="2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>3</w:t>
            </w:r>
          </w:p>
        </w:tc>
        <w:tc>
          <w:tcPr>
            <w:tcW w:type="dxa" w:w="2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1B3D"/>
          <w:sz w:val="24"/>
          <w:szCs w:val="24"/>
        </w:rPr>
        <w:t xml:space="preserve">§ 3 Leistungsumfang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Je Wartung: Sicht- und Funktionsprüfung, Reinigung von Wärmeübertragern, Kontrolle von Kondensatablauf, elektrischen Anschlüssen und Sicherheitseinrichtungen, Aufnahme der Betriebsdaten sowie die gesetzlich vorgeschriebene Dichtheitskontrolle nach Verordnung (EU) 2024/573 einschließlich Dokumentation im Anlagenbuch. Je Wartung wird ein Wartungsprotokoll erstellt und dem Auftraggeber übergeben.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1B3D"/>
          <w:sz w:val="24"/>
          <w:szCs w:val="24"/>
        </w:rPr>
        <w:t xml:space="preserve">§ 4 Wartungsintervalle und Termine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Die Wartung erfolgt </w:t>
      </w: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[einmal/zweimal]</w:t>
      </w:r>
      <w:r>
        <w:rPr>
          <w:rFonts w:ascii="Calibri" w:cs="Calibri" w:eastAsia="Calibri" w:hAnsi="Calibri"/>
          <w:sz w:val="22"/>
          <w:szCs w:val="22"/>
        </w:rPr>
        <w:t xml:space="preserve"> jährlich, bevorzugt im Zeitraum </w:t>
      </w: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[Monat(e)]</w:t>
      </w:r>
      <w:r>
        <w:rPr>
          <w:rFonts w:ascii="Calibri" w:cs="Calibri" w:eastAsia="Calibri" w:hAnsi="Calibri"/>
          <w:sz w:val="22"/>
          <w:szCs w:val="22"/>
        </w:rPr>
        <w:t xml:space="preserve">. Gesetzliche Dichtheitskontroll-Intervalle (abhängig vom CO₂-Äquivalent der Füllmenge) bleiben unberührt und werden vom Auftragnehmer überwacht und terminiert.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1B3D"/>
          <w:sz w:val="24"/>
          <w:szCs w:val="24"/>
        </w:rPr>
        <w:t xml:space="preserve">§ 5 Vergütung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Die Wartungspauschale beträgt </w:t>
      </w: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[Betrag] €</w:t>
      </w:r>
      <w:r>
        <w:rPr>
          <w:rFonts w:ascii="Calibri" w:cs="Calibri" w:eastAsia="Calibri" w:hAnsi="Calibri"/>
          <w:sz w:val="22"/>
          <w:szCs w:val="22"/>
        </w:rPr>
        <w:t xml:space="preserve"> netto je Anlage und Wartung (alternativ: jährliche Pauschale </w:t>
      </w: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[Betrag] €</w:t>
      </w:r>
      <w:r>
        <w:rPr>
          <w:rFonts w:ascii="Calibri" w:cs="Calibri" w:eastAsia="Calibri" w:hAnsi="Calibri"/>
          <w:sz w:val="22"/>
          <w:szCs w:val="22"/>
        </w:rPr>
        <w:t xml:space="preserve"> netto). Enthalten sind Arbeitszeit und Anfahrt gemäß § 3. Nicht enthalten: Ersatzteile, Kältemittel, Reparaturen und Leistungen außerhalb des Leistungsumfangs; diese werden nach Aufwand zu den jeweils gültigen Sätzen berechnet und vorab abgestimmt.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1B3D"/>
          <w:sz w:val="24"/>
          <w:szCs w:val="24"/>
        </w:rPr>
        <w:t xml:space="preserve">§ 6 Störungsdienst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Störungsmeldungen werden werktags innerhalb von </w:t>
      </w: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[Frist]</w:t>
      </w:r>
      <w:r>
        <w:rPr>
          <w:rFonts w:ascii="Calibri" w:cs="Calibri" w:eastAsia="Calibri" w:hAnsi="Calibri"/>
          <w:sz w:val="22"/>
          <w:szCs w:val="22"/>
        </w:rPr>
        <w:t xml:space="preserve"> bearbeitet. Einsätze außerhalb der Wartung werden nach Aufwand berechnet. Optional: Bereitschafts-/Notdienstvereinbarung gemäß Anlage.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1B3D"/>
          <w:sz w:val="24"/>
          <w:szCs w:val="24"/>
        </w:rPr>
        <w:t xml:space="preserve">§ 7 Pflichten des Auftraggebers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Der Auftraggeber gewährleistet freien und gefahrlosen Zugang zu den Anlagen, benennt einen Ansprechpartner und informiert den Auftragnehmer über Änderungen an den Anlagen. Die Betreiberpflichten nach Verordnung (EU) 2024/573 bleiben beim Auftraggeber; der Auftragnehmer unterstützt durch Dokumentation und Terminüberwachung.</w:t>
      </w:r>
      <w:r>
        <w:t xml:space="preserve"> Beide Parteien bewahren die Aufzeichnungen nach Art. 7 der Verordnung (EU) 2024/573 (Anlagenbuch) mindestens fünf Jahre auf.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1B3D"/>
          <w:sz w:val="24"/>
          <w:szCs w:val="24"/>
        </w:rPr>
        <w:t xml:space="preserve">§ 8 Laufzeit und Kündigung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Der Vertrag beginnt am </w:t>
      </w: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[Datum]</w:t>
      </w:r>
      <w:r>
        <w:rPr>
          <w:rFonts w:ascii="Calibri" w:cs="Calibri" w:eastAsia="Calibri" w:hAnsi="Calibri"/>
          <w:sz w:val="22"/>
          <w:szCs w:val="22"/>
        </w:rPr>
        <w:t xml:space="preserve"> und läuft </w:t>
      </w: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[12/24] Monate</w:t>
      </w:r>
      <w:r>
        <w:rPr>
          <w:rFonts w:ascii="Calibri" w:cs="Calibri" w:eastAsia="Calibri" w:hAnsi="Calibri"/>
          <w:sz w:val="22"/>
          <w:szCs w:val="22"/>
        </w:rPr>
        <w:t xml:space="preserve">. Er verlängert sich jeweils um 12 Monate, wenn er nicht mit einer Frist von </w:t>
      </w: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[3] Monaten</w:t>
      </w:r>
      <w:r>
        <w:rPr>
          <w:rFonts w:ascii="Calibri" w:cs="Calibri" w:eastAsia="Calibri" w:hAnsi="Calibri"/>
          <w:sz w:val="22"/>
          <w:szCs w:val="22"/>
        </w:rPr>
        <w:t xml:space="preserve"> zum Laufzeitende gekündigt wird. Das Recht zur außerordentlichen Kündigung bleibt unberührt.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1B3D"/>
          <w:sz w:val="24"/>
          <w:szCs w:val="24"/>
        </w:rPr>
        <w:t xml:space="preserve">§ 9 Schlussbestimmungen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Änderungen und Ergänzungen bedürfen der Textform. Sollten einzelne Bestimmungen unwirksam sein, bleibt der Vertrag im Übrigen wirksam. Gerichtsstand ist – soweit zulässig – der Sitz des Auftragnehmers.</w:t>
      </w:r>
    </w:p>
    <w:p>
      <w:pPr>
        <w:spacing w:before="480"/>
      </w:pPr>
      <w:r>
        <w:rPr>
          <w:rFonts w:ascii="Calibri" w:cs="Calibri" w:eastAsia="Calibri" w:hAnsi="Calibri"/>
          <w:sz w:val="22"/>
          <w:szCs w:val="22"/>
        </w:rPr>
        <w:t xml:space="preserve">___________________________          ___________________________</w:t>
      </w:r>
    </w:p>
    <w:p>
      <w:r>
        <w:rPr>
          <w:rFonts w:ascii="Calibri" w:cs="Calibri" w:eastAsia="Calibri" w:hAnsi="Calibri"/>
          <w:color w:val="555555"/>
          <w:sz w:val="18"/>
          <w:szCs w:val="18"/>
        </w:rPr>
        <w:t xml:space="preserve">Ort, Datum, Auftraggeber                    Ort, Datum, Auftragnehmer</w:t>
      </w:r>
    </w:p>
    <w:p>
      <w:pPr>
        <w:pBdr>
          <w:top w:val="single" w:color="CCCCCC" w:sz="4"/>
        </w:pBdr>
        <w:spacing w:before="360"/>
      </w:pPr>
      <w:r>
        <w:rPr>
          <w:rFonts w:ascii="Calibri" w:cs="Calibri" w:eastAsia="Calibri" w:hAnsi="Calibri"/>
          <w:i/>
          <w:iCs/>
          <w:color w:val="777777"/>
          <w:sz w:val="16"/>
          <w:szCs w:val="16"/>
        </w:rPr>
        <w:t xml:space="preserve">Kostenloses Muster von KlimaCraft (www.klimacraft.de) – Stand Juli 2026. Dieses Muster ersetzt keine Rechtsberatung; vor Verwendung juristisch prüfen lassen. Anpassung an den Einzelfall erforderlich.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2026-07-10T16:44:43.148Z</dcterms:created>
  <dcterms:modified xsi:type="dcterms:W3CDTF">2026-07-10T16:44:43.165Z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